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园艺</w:t>
      </w:r>
      <w:r>
        <w:rPr>
          <w:b/>
          <w:sz w:val="28"/>
          <w:szCs w:val="28"/>
        </w:rPr>
        <w:t>专业卓越</w:t>
      </w:r>
      <w:r>
        <w:rPr>
          <w:rFonts w:hint="eastAsia"/>
          <w:b/>
          <w:sz w:val="28"/>
          <w:szCs w:val="28"/>
        </w:rPr>
        <w:t>班报名表</w:t>
      </w:r>
    </w:p>
    <w:bookmarkEnd w:id="0"/>
    <w:p>
      <w:pPr>
        <w:ind w:righ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201__级</w:t>
      </w:r>
    </w:p>
    <w:tbl>
      <w:tblPr>
        <w:tblStyle w:val="3"/>
        <w:tblW w:w="7696" w:type="dxa"/>
        <w:tblInd w:w="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9"/>
        <w:gridCol w:w="284"/>
        <w:gridCol w:w="142"/>
        <w:gridCol w:w="992"/>
        <w:gridCol w:w="1134"/>
        <w:gridCol w:w="283"/>
        <w:gridCol w:w="141"/>
        <w:gridCol w:w="993"/>
        <w:gridCol w:w="426"/>
        <w:gridCol w:w="1165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名族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0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申请卓越班类型</w:t>
            </w:r>
          </w:p>
        </w:tc>
        <w:tc>
          <w:tcPr>
            <w:tcW w:w="539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拔尖创新型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  <w:szCs w:val="24"/>
              </w:rPr>
              <w:t>复合应用型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6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英语成绩（四六级、托福、雅思等）</w:t>
            </w:r>
          </w:p>
        </w:tc>
        <w:tc>
          <w:tcPr>
            <w:tcW w:w="383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GPA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获得荣誉</w:t>
            </w:r>
          </w:p>
        </w:tc>
        <w:tc>
          <w:tcPr>
            <w:tcW w:w="638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7" w:hRule="atLeast"/>
        </w:trPr>
        <w:tc>
          <w:tcPr>
            <w:tcW w:w="767" w:type="dxa"/>
          </w:tcPr>
          <w:p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  <w:p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spacing w:line="480" w:lineRule="auto"/>
              <w:jc w:val="distribute"/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929" w:type="dxa"/>
            <w:gridSpan w:val="11"/>
          </w:tcPr>
          <w:p>
            <w:pPr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7CA5"/>
    <w:rsid w:val="43E37C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2016-05-26T08:16:00Z</dcterms:created>
  <dc:creator>yuanyi</dc:creator>
  <cp:lastModifiedBy>yuanyi</cp:lastModifiedBy>
  <dcterms:modified xsi:type="dcterms:W3CDTF">2016-05-26T08:16:40Z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